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6CFD8425" w:rsidR="00F92268" w:rsidRPr="00FF66BF" w:rsidRDefault="00023BE2" w:rsidP="00F246C7">
            <w:pPr>
              <w:pStyle w:val="RefTableHeader"/>
            </w:pPr>
            <w:r>
              <w:t>2432- A</w:t>
            </w:r>
          </w:p>
        </w:tc>
      </w:tr>
    </w:tbl>
    <w:p w14:paraId="74FBA5B4" w14:textId="77777777" w:rsidR="00051356" w:rsidRDefault="00051356" w:rsidP="00D661C5">
      <w:pPr>
        <w:pStyle w:val="BodyText"/>
        <w:spacing w:after="0"/>
        <w:rPr>
          <w:b/>
          <w:bCs/>
          <w:sz w:val="16"/>
          <w:szCs w:val="16"/>
        </w:rPr>
        <w:sectPr w:rsidR="00051356" w:rsidSect="0032402B">
          <w:headerReference w:type="default" r:id="rId12"/>
          <w:footerReference w:type="default" r:id="rId13"/>
          <w:footerReference w:type="first" r:id="rId14"/>
          <w:pgSz w:w="12240" w:h="15840" w:code="1"/>
          <w:pgMar w:top="900" w:right="720" w:bottom="990" w:left="720" w:header="450" w:footer="807" w:gutter="0"/>
          <w:paperSrc w:first="15" w:other="15"/>
          <w:cols w:space="720"/>
          <w:titlePg/>
          <w:docGrid w:linePitch="272"/>
        </w:sectPr>
      </w:pPr>
    </w:p>
    <w:p w14:paraId="3F4DE49F" w14:textId="6FCB39B3" w:rsidR="004B15BB" w:rsidRPr="00BD1CC1" w:rsidRDefault="00023BE2" w:rsidP="007E5C16">
      <w:pPr>
        <w:pStyle w:val="Heading1"/>
      </w:pPr>
      <w:r w:rsidRPr="00023BE2">
        <w:t>Specialty Guideline Management</w:t>
      </w:r>
      <w:r w:rsidRPr="00BD1CC1">
        <w:br/>
      </w:r>
      <w:r w:rsidRPr="00023BE2">
        <w:t>Aveed</w:t>
      </w:r>
    </w:p>
    <w:p w14:paraId="78861C92" w14:textId="0FC4DEB9" w:rsidR="00203468" w:rsidRPr="00BD1CC1" w:rsidRDefault="00C64534" w:rsidP="008E0F0D">
      <w:pPr>
        <w:pStyle w:val="Heading2"/>
      </w:pPr>
      <w:r w:rsidRPr="00BD1CC1">
        <w:t xml:space="preserve">Products Referenced by this </w:t>
      </w:r>
      <w:r w:rsidR="00501602" w:rsidRPr="00BD1CC1">
        <w:t>Document</w:t>
      </w:r>
    </w:p>
    <w:p w14:paraId="5455152B" w14:textId="73C8CC47"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proofErr w:type="gramStart"/>
      <w:r w:rsidR="00415331" w:rsidRPr="00BD1CC1">
        <w:t>O</w:t>
      </w:r>
      <w:r w:rsidR="00415331">
        <w:t>ver-the-counter</w:t>
      </w:r>
      <w:proofErr w:type="gramEnd"/>
      <w:r w:rsidR="00415331" w:rsidRPr="00BD1CC1">
        <w:t xml:space="preserve"> </w:t>
      </w:r>
      <w:r w:rsidR="00415331">
        <w:t>(</w:t>
      </w:r>
      <w:r w:rsidRPr="00BD1CC1">
        <w:t>OTC</w:t>
      </w:r>
      <w:r w:rsidR="00415331">
        <w:t>)</w:t>
      </w:r>
      <w:r w:rsidRPr="00BD1CC1">
        <w:t xml:space="preserve"> products are not included unless otherwise stated.</w:t>
      </w:r>
    </w:p>
    <w:tbl>
      <w:tblPr>
        <w:tblStyle w:val="TableGrid"/>
        <w:tblW w:w="1077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80"/>
        <w:gridCol w:w="5490"/>
      </w:tblGrid>
      <w:tr w:rsidR="00C70FE9" w:rsidRPr="00BD1CC1" w14:paraId="158421F8" w14:textId="2B38C50D" w:rsidTr="0066715E">
        <w:trPr>
          <w:cantSplit/>
          <w:trHeight w:val="288"/>
          <w:tblHeader/>
        </w:trPr>
        <w:tc>
          <w:tcPr>
            <w:tcW w:w="5280" w:type="dxa"/>
            <w:vAlign w:val="center"/>
          </w:tcPr>
          <w:p w14:paraId="2A27354A" w14:textId="1390179E" w:rsidR="00C70FE9" w:rsidRPr="00BD1CC1" w:rsidRDefault="00C70FE9" w:rsidP="00AA1E6A">
            <w:pPr>
              <w:pStyle w:val="TableHeader"/>
            </w:pPr>
            <w:bookmarkStart w:id="0" w:name="_Hlk159603270"/>
            <w:r w:rsidRPr="00BD1CC1">
              <w:t>Brand Name</w:t>
            </w:r>
          </w:p>
        </w:tc>
        <w:tc>
          <w:tcPr>
            <w:tcW w:w="5490" w:type="dxa"/>
            <w:vAlign w:val="center"/>
          </w:tcPr>
          <w:p w14:paraId="3D342BE1" w14:textId="75F11EF1" w:rsidR="00C70FE9" w:rsidRPr="00BD1CC1" w:rsidRDefault="00C70FE9" w:rsidP="00AA1E6A">
            <w:pPr>
              <w:pStyle w:val="TableHeader"/>
            </w:pPr>
            <w:r w:rsidRPr="00BD1CC1">
              <w:t>Generic Name</w:t>
            </w:r>
          </w:p>
        </w:tc>
      </w:tr>
      <w:tr w:rsidR="00C70FE9" w:rsidRPr="00BD1CC1" w14:paraId="2AD5C02D" w14:textId="0F57688F" w:rsidTr="0066715E">
        <w:trPr>
          <w:cantSplit/>
        </w:trPr>
        <w:tc>
          <w:tcPr>
            <w:tcW w:w="5280" w:type="dxa"/>
          </w:tcPr>
          <w:p w14:paraId="2D8FA8E3" w14:textId="2E9B8701" w:rsidR="00C70FE9" w:rsidRPr="00BD1CC1" w:rsidRDefault="00C70FE9" w:rsidP="00E82ABA">
            <w:pPr>
              <w:pStyle w:val="TableDataUnpadded"/>
            </w:pPr>
            <w:r w:rsidRPr="00023BE2">
              <w:t>Aveed</w:t>
            </w:r>
          </w:p>
        </w:tc>
        <w:tc>
          <w:tcPr>
            <w:tcW w:w="5490" w:type="dxa"/>
          </w:tcPr>
          <w:p w14:paraId="7E26A004" w14:textId="0EA11EAD" w:rsidR="00C70FE9" w:rsidRPr="00BD1CC1" w:rsidRDefault="00C70FE9" w:rsidP="00E82ABA">
            <w:pPr>
              <w:pStyle w:val="TableDataUnpadded"/>
            </w:pPr>
            <w:r w:rsidRPr="00023BE2">
              <w:t>testosterone undecanoate</w:t>
            </w:r>
          </w:p>
        </w:tc>
      </w:tr>
    </w:tbl>
    <w:bookmarkEnd w:id="0"/>
    <w:p w14:paraId="14CE6108" w14:textId="1A3F939C" w:rsidR="00FC1AAD" w:rsidRPr="00493459" w:rsidRDefault="00ED052F" w:rsidP="00AA2A94">
      <w:pPr>
        <w:pStyle w:val="Heading2"/>
        <w:tabs>
          <w:tab w:val="left" w:pos="9540"/>
        </w:tabs>
        <w:rPr>
          <w:color w:val="000000" w:themeColor="text1"/>
        </w:rPr>
      </w:pPr>
      <w:r>
        <w:t>Indications</w:t>
      </w:r>
    </w:p>
    <w:p w14:paraId="4ECB08C9" w14:textId="23908EDF" w:rsidR="00644338" w:rsidRPr="00644338" w:rsidRDefault="00644338" w:rsidP="00644338">
      <w:pPr>
        <w:pStyle w:val="BodyText"/>
      </w:pPr>
      <w:r w:rsidRPr="00644338">
        <w:t>The indications below including FDA-approved indications and compendial uses are considered a covered benefit provided that all the approval criteria are met and the member has no exclusions to the prescribed therapy.</w:t>
      </w:r>
    </w:p>
    <w:p w14:paraId="134B5687" w14:textId="6B1B04BB" w:rsidR="00ED052F" w:rsidRPr="00BD1CC1" w:rsidRDefault="00ED052F" w:rsidP="00ED052F">
      <w:pPr>
        <w:pStyle w:val="Heading3"/>
        <w:keepNext w:val="0"/>
      </w:pPr>
      <w:r w:rsidRPr="00BD1CC1">
        <w:t>FDA-</w:t>
      </w:r>
      <w:r w:rsidR="00D661C5">
        <w:t>A</w:t>
      </w:r>
      <w:r w:rsidRPr="00BD1CC1">
        <w:t>pproved Indications</w:t>
      </w:r>
      <w:r w:rsidR="00D661C5" w:rsidRPr="00D661C5">
        <w:rPr>
          <w:vertAlign w:val="superscript"/>
        </w:rPr>
        <w:t>1</w:t>
      </w:r>
    </w:p>
    <w:p w14:paraId="4C434745" w14:textId="01B89500" w:rsidR="00ED052F" w:rsidRDefault="00644338" w:rsidP="00ED052F">
      <w:pPr>
        <w:pStyle w:val="BodyText"/>
      </w:pPr>
      <w:r w:rsidRPr="00644338">
        <w:t>Aveed is indicated for testosterone replacement therapy in adult males for conditions associated with a deficiency or absence of endogenous testosterone.</w:t>
      </w:r>
    </w:p>
    <w:p w14:paraId="41892D98" w14:textId="597EF58F" w:rsidR="00644338" w:rsidRDefault="00644338" w:rsidP="00644338">
      <w:pPr>
        <w:pStyle w:val="ListParagraph"/>
        <w:ind w:left="714" w:hanging="357"/>
        <w:contextualSpacing w:val="0"/>
      </w:pPr>
      <w:r>
        <w:t>Primary hypogonadism (congenital or acquired): testicular failure due to cryptorchidism, bilateral torsion, orchitis, vanishing testis syndrome, orchiectomy, Klinefelter’s syndrome, chemotherapy, or toxic damage from alcohol or heavy metals. These men usually have low serum testosterone concentrations and gonadotropins (follicle-stimulating hormone [FSH], luteinizing hormone [LH]) above the normal range.</w:t>
      </w:r>
    </w:p>
    <w:p w14:paraId="1908E2DB" w14:textId="46A6FD34" w:rsidR="00644338" w:rsidRDefault="00644338" w:rsidP="00644338">
      <w:pPr>
        <w:pStyle w:val="ListParagraph"/>
        <w:ind w:left="714" w:hanging="357"/>
        <w:contextualSpacing w:val="0"/>
      </w:pPr>
      <w:r>
        <w:t>Hypogonadotropic hypogonadism (congenital or acquired): gonadotropin or luteinizing hormone-releasing hormone (LHRH) deficiency or pituitary-hypothalamic injury from tumors, trauma, or radiation. These men have low testosterone serum concentrations but have gonadotropins in the normal or low range.</w:t>
      </w:r>
    </w:p>
    <w:p w14:paraId="2BA51BA9" w14:textId="73DBF3DA" w:rsidR="00644338" w:rsidRDefault="00644338" w:rsidP="00644338">
      <w:pPr>
        <w:pStyle w:val="BodyText"/>
      </w:pPr>
      <w:r w:rsidRPr="00644338">
        <w:lastRenderedPageBreak/>
        <w:t>Aveed should only be used in patients who require testosterone replacement therapy and in whom the benefits of the product outweigh the serious risks of pulmonary oil microembolism (POME) and anaphylaxis.</w:t>
      </w:r>
    </w:p>
    <w:p w14:paraId="48085E54" w14:textId="140E960D" w:rsidR="009A5649" w:rsidRDefault="00A30ABB" w:rsidP="006172D9">
      <w:pPr>
        <w:pStyle w:val="Heading4"/>
      </w:pPr>
      <w:r>
        <w:t>Limitations of Use</w:t>
      </w:r>
    </w:p>
    <w:p w14:paraId="1AEF06FB" w14:textId="37DBB722" w:rsidR="00644338" w:rsidRPr="00D661C5" w:rsidRDefault="00644338" w:rsidP="00D661C5">
      <w:pPr>
        <w:pStyle w:val="ListParagraph"/>
        <w:numPr>
          <w:ilvl w:val="0"/>
          <w:numId w:val="33"/>
        </w:numPr>
      </w:pPr>
      <w:r w:rsidRPr="00D661C5">
        <w:t>Safety and efficacy of Aveed in men with “age-related hypogonadism” (also referred to as “late-onset hypogonadism”) have not been established.</w:t>
      </w:r>
    </w:p>
    <w:p w14:paraId="0DF810BA" w14:textId="5EEB9549" w:rsidR="00644338" w:rsidRPr="00D661C5" w:rsidRDefault="00644338" w:rsidP="00D661C5">
      <w:pPr>
        <w:pStyle w:val="ListParagraph"/>
        <w:numPr>
          <w:ilvl w:val="0"/>
          <w:numId w:val="33"/>
        </w:numPr>
        <w:spacing w:after="120"/>
      </w:pPr>
      <w:r w:rsidRPr="00D661C5">
        <w:t>Safety and efficacy of Aveed in males less than 18 years old have not been established.</w:t>
      </w:r>
    </w:p>
    <w:p w14:paraId="35875DF2" w14:textId="6454397C" w:rsidR="00644338" w:rsidRPr="00644338" w:rsidRDefault="00644338" w:rsidP="006E303A">
      <w:pPr>
        <w:pStyle w:val="BodyText"/>
      </w:pPr>
      <w:r w:rsidRPr="00644338">
        <w:t>All other indications are considered experimental/investigational and not medically necessary.</w:t>
      </w:r>
    </w:p>
    <w:p w14:paraId="36381B6D" w14:textId="0A36CA76" w:rsidR="000D2496" w:rsidRDefault="00760516" w:rsidP="000D2496">
      <w:pPr>
        <w:pStyle w:val="Heading2"/>
      </w:pPr>
      <w:r w:rsidRPr="00BD1CC1">
        <w:t>Documentation</w:t>
      </w:r>
    </w:p>
    <w:p w14:paraId="6D60C9CF" w14:textId="764E51AB" w:rsidR="006172D9" w:rsidRPr="006172D9" w:rsidRDefault="006172D9" w:rsidP="006172D9">
      <w:pPr>
        <w:pStyle w:val="BodyText"/>
      </w:pPr>
      <w:r w:rsidRPr="006172D9">
        <w:t>The following information is necessary to initiate the prior authorization review: For primary hypogonadism or hypogonadotropic hypogonadism, pretreatment morning serum total testosterone concentrations</w:t>
      </w:r>
      <w:r w:rsidR="00E955E2">
        <w:t>.</w:t>
      </w:r>
    </w:p>
    <w:p w14:paraId="65A12794" w14:textId="27012831" w:rsidR="000D5101" w:rsidRDefault="004715CD" w:rsidP="00E050E1">
      <w:pPr>
        <w:pStyle w:val="Heading2"/>
      </w:pPr>
      <w:r w:rsidRPr="00BD1CC1">
        <w:t>Exclusions</w:t>
      </w:r>
    </w:p>
    <w:p w14:paraId="311D483B" w14:textId="77777777" w:rsidR="006E5ECB" w:rsidRDefault="006172D9" w:rsidP="006E5ECB">
      <w:pPr>
        <w:pStyle w:val="BodyText"/>
      </w:pPr>
      <w:r w:rsidRPr="006172D9">
        <w:t>Coverage will not be provided for members with any of the following exclusions: Use for age-related hypogonadism or late-onset hypogonadism</w:t>
      </w:r>
      <w:r w:rsidR="00E955E2">
        <w:t>.</w:t>
      </w:r>
    </w:p>
    <w:p w14:paraId="50A38FBA" w14:textId="7BA98341" w:rsidR="00FE0C63" w:rsidRPr="00100B91" w:rsidRDefault="00685107" w:rsidP="006E5ECB">
      <w:pPr>
        <w:pStyle w:val="Heading2"/>
      </w:pPr>
      <w:r>
        <w:t>Coverage Criteria</w:t>
      </w:r>
    </w:p>
    <w:p w14:paraId="5E357792" w14:textId="73EF71AB" w:rsidR="00C22F9B" w:rsidRDefault="006172D9" w:rsidP="00C22F9B">
      <w:pPr>
        <w:pStyle w:val="Heading3"/>
        <w:rPr>
          <w:vertAlign w:val="superscript"/>
        </w:rPr>
      </w:pPr>
      <w:r w:rsidRPr="006172D9">
        <w:t xml:space="preserve">Primary </w:t>
      </w:r>
      <w:r w:rsidR="001537D3" w:rsidRPr="006172D9">
        <w:t xml:space="preserve">Hypogonadism </w:t>
      </w:r>
      <w:r w:rsidR="001537D3">
        <w:t>o</w:t>
      </w:r>
      <w:r w:rsidR="001537D3" w:rsidRPr="006172D9">
        <w:t>r Hypogonadotropic Hypogonadism</w:t>
      </w:r>
      <w:r w:rsidR="001537D3" w:rsidRPr="006172D9">
        <w:rPr>
          <w:vertAlign w:val="superscript"/>
        </w:rPr>
        <w:t>1,2</w:t>
      </w:r>
    </w:p>
    <w:p w14:paraId="27975966" w14:textId="7AE50C5E" w:rsidR="006172D9" w:rsidRDefault="006172D9" w:rsidP="006172D9">
      <w:pPr>
        <w:pStyle w:val="BodyText"/>
      </w:pPr>
      <w:r w:rsidRPr="006172D9">
        <w:t>Authorization of 12 months may be granted for treatment of primary hypogonadism or hypogonadotropic hypogonadism when all of the following criteria are met</w:t>
      </w:r>
      <w:r w:rsidR="002D3A1B">
        <w:t>:</w:t>
      </w:r>
    </w:p>
    <w:p w14:paraId="3D69BDF3" w14:textId="7B2D2E13" w:rsidR="006172D9" w:rsidRPr="00D661C5" w:rsidRDefault="006172D9" w:rsidP="00D661C5">
      <w:pPr>
        <w:pStyle w:val="ListParagraph"/>
        <w:numPr>
          <w:ilvl w:val="0"/>
          <w:numId w:val="32"/>
        </w:numPr>
      </w:pPr>
      <w:r w:rsidRPr="00D661C5">
        <w:t>Member is a biological male or a person that self identifies as male.</w:t>
      </w:r>
    </w:p>
    <w:p w14:paraId="16D9F25E" w14:textId="531F848E" w:rsidR="006172D9" w:rsidRPr="00D661C5" w:rsidRDefault="006172D9" w:rsidP="00D661C5">
      <w:pPr>
        <w:pStyle w:val="ListParagraph"/>
        <w:numPr>
          <w:ilvl w:val="0"/>
          <w:numId w:val="32"/>
        </w:numPr>
      </w:pPr>
      <w:r w:rsidRPr="00D661C5">
        <w:t>Member is at least 18 years of age.</w:t>
      </w:r>
    </w:p>
    <w:p w14:paraId="4BCCC0B2" w14:textId="4233BEDD" w:rsidR="006172D9" w:rsidRPr="00D661C5" w:rsidRDefault="006172D9" w:rsidP="00D661C5">
      <w:pPr>
        <w:pStyle w:val="ListParagraph"/>
        <w:numPr>
          <w:ilvl w:val="0"/>
          <w:numId w:val="32"/>
        </w:numPr>
      </w:pPr>
      <w:r w:rsidRPr="00D661C5">
        <w:t>Member has at least two confirmed low morning serum total testosterone concentrations based on the reference laboratory range or current practice guidelines.</w:t>
      </w:r>
    </w:p>
    <w:p w14:paraId="3A643EC3" w14:textId="3FA954D9" w:rsidR="00A501AC" w:rsidRPr="00BD1CC1" w:rsidRDefault="00A501AC" w:rsidP="00AB3783">
      <w:pPr>
        <w:pStyle w:val="Heading2"/>
        <w:keepNext w:val="0"/>
        <w:tabs>
          <w:tab w:val="left" w:pos="9765"/>
        </w:tabs>
      </w:pPr>
      <w:r w:rsidRPr="00BD1CC1">
        <w:t>Continuation of Therapy</w:t>
      </w:r>
    </w:p>
    <w:p w14:paraId="53570B3D" w14:textId="0716D5A5" w:rsidR="00A501AC" w:rsidRDefault="006172D9" w:rsidP="00AB3783">
      <w:pPr>
        <w:pStyle w:val="Heading3"/>
        <w:keepNext w:val="0"/>
      </w:pPr>
      <w:r w:rsidRPr="006172D9">
        <w:t xml:space="preserve">Primary </w:t>
      </w:r>
      <w:r w:rsidR="00CD1AFE" w:rsidRPr="006172D9">
        <w:t xml:space="preserve">Hypogonadism </w:t>
      </w:r>
      <w:r w:rsidR="00CD1AFE">
        <w:t>o</w:t>
      </w:r>
      <w:r w:rsidR="00CD1AFE" w:rsidRPr="006172D9">
        <w:t>r Hypogonadotropic Hypogonadism</w:t>
      </w:r>
    </w:p>
    <w:p w14:paraId="5770C6CB" w14:textId="37BB2D02" w:rsidR="006172D9" w:rsidRDefault="006172D9" w:rsidP="006172D9">
      <w:pPr>
        <w:pStyle w:val="BodyText"/>
      </w:pPr>
      <w:r w:rsidRPr="006172D9">
        <w:lastRenderedPageBreak/>
        <w:t>Authorization of 12 months may be granted for continued treatment in members requesting reauthorization for primary hypogonadism or hypogonadotropic hypogonadism when all of the following criteria are met:</w:t>
      </w:r>
    </w:p>
    <w:p w14:paraId="25A9A06A" w14:textId="548D5CC2" w:rsidR="00493459" w:rsidRPr="00DC39BC" w:rsidRDefault="00493459" w:rsidP="00DC39BC">
      <w:pPr>
        <w:pStyle w:val="ListParagraph"/>
        <w:numPr>
          <w:ilvl w:val="0"/>
          <w:numId w:val="34"/>
        </w:numPr>
      </w:pPr>
      <w:r w:rsidRPr="00DC39BC">
        <w:t>Member is a biological male or a person that self identifies as male.</w:t>
      </w:r>
    </w:p>
    <w:p w14:paraId="642BC63D" w14:textId="4E2C5757" w:rsidR="00493459" w:rsidRPr="00DC39BC" w:rsidRDefault="00493459" w:rsidP="00DC39BC">
      <w:pPr>
        <w:pStyle w:val="ListParagraph"/>
        <w:numPr>
          <w:ilvl w:val="0"/>
          <w:numId w:val="34"/>
        </w:numPr>
      </w:pPr>
      <w:r w:rsidRPr="00DC39BC">
        <w:t>Member is at least 18 years of age.</w:t>
      </w:r>
    </w:p>
    <w:p w14:paraId="0E357983" w14:textId="7E60F13E" w:rsidR="006172D9" w:rsidRPr="00DC39BC" w:rsidRDefault="00493459" w:rsidP="00DC39BC">
      <w:pPr>
        <w:pStyle w:val="ListParagraph"/>
        <w:numPr>
          <w:ilvl w:val="0"/>
          <w:numId w:val="34"/>
        </w:numPr>
      </w:pPr>
      <w:r w:rsidRPr="00DC39BC">
        <w:t>Before the start of therapy, the member had at least two confirmed low morning serum total testosterone concentrations based on the reference laboratory range or current practice guidelines.</w:t>
      </w:r>
    </w:p>
    <w:p w14:paraId="10DA4309" w14:textId="5E28E8E3" w:rsidR="00FF66BF" w:rsidRPr="00493459" w:rsidRDefault="00FF66BF" w:rsidP="00FF66BF">
      <w:pPr>
        <w:pStyle w:val="Heading2"/>
        <w:rPr>
          <w:color w:val="000000" w:themeColor="text1"/>
        </w:rPr>
      </w:pPr>
      <w:r w:rsidRPr="008D1B34">
        <w:t>References</w:t>
      </w:r>
    </w:p>
    <w:p w14:paraId="05DAD813" w14:textId="31258FC9" w:rsidR="00493459" w:rsidRDefault="00493459" w:rsidP="00493459">
      <w:pPr>
        <w:pStyle w:val="ReferenceOrdered"/>
      </w:pPr>
      <w:r>
        <w:t xml:space="preserve">Aveed [package insert]. Malvern, PA: Endo </w:t>
      </w:r>
      <w:r w:rsidR="003908E4">
        <w:t>USA</w:t>
      </w:r>
      <w:r>
        <w:t>; August 2021.</w:t>
      </w:r>
    </w:p>
    <w:p w14:paraId="129A48A8" w14:textId="5441F0FF" w:rsidR="00493459" w:rsidRPr="00493459" w:rsidRDefault="00493459" w:rsidP="00493459">
      <w:pPr>
        <w:pStyle w:val="ReferenceOrdered"/>
      </w:pPr>
      <w:r>
        <w:t xml:space="preserve">Bhasin S, Brito JP, Cunninghan GR, et al. Testosterone </w:t>
      </w:r>
      <w:r w:rsidR="003908E4">
        <w:t>t</w:t>
      </w:r>
      <w:r>
        <w:t xml:space="preserve">herapy in </w:t>
      </w:r>
      <w:r w:rsidR="003908E4">
        <w:t>m</w:t>
      </w:r>
      <w:r>
        <w:t xml:space="preserve">en with </w:t>
      </w:r>
      <w:r w:rsidR="003908E4">
        <w:t>h</w:t>
      </w:r>
      <w:r>
        <w:t xml:space="preserve">ypogonadism: An Endocrine Society </w:t>
      </w:r>
      <w:r w:rsidR="003908E4">
        <w:t>c</w:t>
      </w:r>
      <w:r>
        <w:t xml:space="preserve">linical </w:t>
      </w:r>
      <w:r w:rsidR="003908E4">
        <w:t>p</w:t>
      </w:r>
      <w:r>
        <w:t xml:space="preserve">ractice </w:t>
      </w:r>
      <w:r w:rsidR="003908E4">
        <w:t>g</w:t>
      </w:r>
      <w:r>
        <w:t xml:space="preserve">uideline. J Clin Endocrinol </w:t>
      </w:r>
      <w:proofErr w:type="spellStart"/>
      <w:r>
        <w:t>Metab</w:t>
      </w:r>
      <w:proofErr w:type="spellEnd"/>
      <w:r>
        <w:t>. 2018;103(5):1715-1744</w:t>
      </w:r>
      <w:r w:rsidR="008279BA">
        <w:t>.</w:t>
      </w:r>
    </w:p>
    <w:sectPr w:rsidR="00493459" w:rsidRPr="00493459" w:rsidSect="00AB3783">
      <w:headerReference w:type="first" r:id="rId15"/>
      <w:footerReference w:type="first" r:id="rId16"/>
      <w:type w:val="continuous"/>
      <w:pgSz w:w="12240" w:h="15840" w:code="1"/>
      <w:pgMar w:top="900" w:right="720" w:bottom="990" w:left="720" w:header="720" w:footer="41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E093F1" w14:textId="77777777" w:rsidR="00BC4D67" w:rsidRDefault="00BC4D67">
      <w:r>
        <w:separator/>
      </w:r>
    </w:p>
  </w:endnote>
  <w:endnote w:type="continuationSeparator" w:id="0">
    <w:p w14:paraId="651C8300" w14:textId="77777777" w:rsidR="00BC4D67" w:rsidRDefault="00BC4D67">
      <w:r>
        <w:continuationSeparator/>
      </w:r>
    </w:p>
  </w:endnote>
  <w:endnote w:type="continuationNotice" w:id="1">
    <w:p w14:paraId="06C29BC7" w14:textId="77777777" w:rsidR="00BC4D67" w:rsidRDefault="00BC4D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05EC7D39"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403079">
      <w:rPr>
        <w:rFonts w:cs="Arial"/>
        <w:noProof/>
        <w:snapToGrid w:val="0"/>
        <w:color w:val="000000"/>
        <w:sz w:val="16"/>
        <w:szCs w:val="16"/>
      </w:rPr>
      <w:t>Aveed opt-out</w:t>
    </w:r>
    <w:r w:rsidR="00403079" w:rsidRPr="00403079">
      <w:rPr>
        <w:rFonts w:cs="Arial"/>
        <w:noProof/>
        <w:sz w:val="16"/>
        <w:szCs w:val="16"/>
      </w:rPr>
      <w:t xml:space="preserve"> SGM</w:t>
    </w:r>
    <w:r w:rsidR="00403079">
      <w:rPr>
        <w:rFonts w:cs="Arial"/>
        <w:noProof/>
        <w:snapToGrid w:val="0"/>
        <w:color w:val="000000"/>
        <w:sz w:val="16"/>
        <w:szCs w:val="16"/>
      </w:rPr>
      <w:t xml:space="preserve"> 2432-A P2025.docx</w:t>
    </w:r>
    <w:r w:rsidRPr="00EC47B6">
      <w:rPr>
        <w:rFonts w:cs="Arial"/>
        <w:noProof/>
        <w:sz w:val="16"/>
        <w:szCs w:val="16"/>
      </w:rPr>
      <w:fldChar w:fldCharType="end"/>
    </w:r>
    <w:r w:rsidRPr="00EC47B6">
      <w:rPr>
        <w:rFonts w:cs="Arial"/>
        <w:snapToGrid w:val="0"/>
        <w:color w:val="000000"/>
        <w:sz w:val="16"/>
      </w:rPr>
      <w:tab/>
      <w:t>© 20</w:t>
    </w:r>
    <w:r w:rsidR="004F5DA6">
      <w:rPr>
        <w:rFonts w:cs="Arial"/>
        <w:snapToGrid w:val="0"/>
        <w:color w:val="000000"/>
        <w:sz w:val="16"/>
      </w:rPr>
      <w:t>25</w:t>
    </w:r>
    <w:r w:rsidRPr="00EC47B6">
      <w:rPr>
        <w:rFonts w:cs="Arial"/>
        <w:snapToGrid w:val="0"/>
        <w:color w:val="000000"/>
        <w:sz w:val="16"/>
      </w:rPr>
      <w:t xml:space="preserve"> CVS Caremark. All rights reserved.</w:t>
    </w:r>
  </w:p>
  <w:p w14:paraId="61CF5924" w14:textId="39832CDC"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55FF8139" w:rsidR="00F75C81" w:rsidRPr="00AA1E6A" w:rsidRDefault="00C36B72" w:rsidP="006E303A">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7092E66D"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403079">
      <w:rPr>
        <w:rFonts w:cs="Arial"/>
        <w:noProof/>
        <w:snapToGrid w:val="0"/>
        <w:color w:val="000000"/>
        <w:sz w:val="16"/>
        <w:szCs w:val="16"/>
      </w:rPr>
      <w:t>Aveed opt-out</w:t>
    </w:r>
    <w:r w:rsidR="00403079" w:rsidRPr="00403079">
      <w:rPr>
        <w:rFonts w:cs="Arial"/>
        <w:noProof/>
        <w:sz w:val="16"/>
        <w:szCs w:val="16"/>
      </w:rPr>
      <w:t xml:space="preserve"> SGM</w:t>
    </w:r>
    <w:r w:rsidR="00403079">
      <w:rPr>
        <w:rFonts w:cs="Arial"/>
        <w:noProof/>
        <w:snapToGrid w:val="0"/>
        <w:color w:val="000000"/>
        <w:sz w:val="16"/>
        <w:szCs w:val="16"/>
      </w:rPr>
      <w:t xml:space="preserve"> 2432-A P2025.docx</w:t>
    </w:r>
    <w:r w:rsidRPr="00EC47B6">
      <w:rPr>
        <w:rFonts w:cs="Arial"/>
        <w:noProof/>
        <w:sz w:val="16"/>
        <w:szCs w:val="16"/>
      </w:rPr>
      <w:fldChar w:fldCharType="end"/>
    </w:r>
    <w:r w:rsidRPr="00EC47B6">
      <w:rPr>
        <w:rFonts w:cs="Arial"/>
        <w:snapToGrid w:val="0"/>
        <w:color w:val="000000"/>
        <w:sz w:val="16"/>
      </w:rPr>
      <w:tab/>
      <w:t>© 20</w:t>
    </w:r>
    <w:r w:rsidR="004F5DA6">
      <w:rPr>
        <w:rFonts w:cs="Arial"/>
        <w:snapToGrid w:val="0"/>
        <w:color w:val="000000"/>
        <w:sz w:val="16"/>
      </w:rPr>
      <w:t>25</w:t>
    </w:r>
    <w:r w:rsidRPr="00EC47B6">
      <w:rPr>
        <w:rFonts w:cs="Arial"/>
        <w:snapToGrid w:val="0"/>
        <w:color w:val="000000"/>
        <w:sz w:val="16"/>
      </w:rPr>
      <w:t xml:space="preserve"> CVS Caremark. All rights reserved.</w:t>
    </w:r>
  </w:p>
  <w:p w14:paraId="39BFE579" w14:textId="0C7B68CF"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6DBF124C" w:rsidR="00ED04EC" w:rsidRPr="00F50D98" w:rsidRDefault="00F50D98" w:rsidP="006E303A">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1674" w14:textId="03CB438C" w:rsidR="000F5383" w:rsidRPr="00F50D98" w:rsidRDefault="000F5383"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259E9" w14:textId="77777777" w:rsidR="00BC4D67" w:rsidRDefault="00BC4D67">
      <w:r>
        <w:separator/>
      </w:r>
    </w:p>
  </w:footnote>
  <w:footnote w:type="continuationSeparator" w:id="0">
    <w:p w14:paraId="1CC20DE2" w14:textId="77777777" w:rsidR="00BC4D67" w:rsidRDefault="00BC4D67">
      <w:r>
        <w:continuationSeparator/>
      </w:r>
    </w:p>
  </w:footnote>
  <w:footnote w:type="continuationNotice" w:id="1">
    <w:p w14:paraId="726020B7" w14:textId="77777777" w:rsidR="00BC4D67" w:rsidRDefault="00BC4D6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2D2847" w:rsidRDefault="00ED04EC" w:rsidP="00ED04EC">
          <w:pPr>
            <w:pStyle w:val="Header"/>
            <w:rPr>
              <w:rFonts w:cs="Arial"/>
              <w:sz w:val="16"/>
              <w:szCs w:val="16"/>
            </w:rPr>
          </w:pPr>
          <w:r w:rsidRPr="002D2847">
            <w:rPr>
              <w:rFonts w:cs="Arial"/>
              <w:sz w:val="16"/>
              <w:szCs w:val="16"/>
            </w:rPr>
            <w:t>Reference number(s)</w:t>
          </w:r>
        </w:p>
      </w:tc>
    </w:tr>
    <w:tr w:rsidR="00ED04EC" w:rsidRPr="00ED04EC" w14:paraId="703C6588" w14:textId="77777777" w:rsidTr="0006569F">
      <w:trPr>
        <w:trHeight w:val="378"/>
        <w:jc w:val="right"/>
      </w:trPr>
      <w:tc>
        <w:tcPr>
          <w:tcW w:w="1854" w:type="dxa"/>
          <w:hideMark/>
        </w:tcPr>
        <w:p w14:paraId="51CE3E64" w14:textId="06A02A11" w:rsidR="00ED04EC" w:rsidRPr="002D2847" w:rsidRDefault="00023BE2" w:rsidP="00ED04EC">
          <w:pPr>
            <w:pStyle w:val="Header"/>
            <w:rPr>
              <w:rFonts w:cs="Arial"/>
              <w:sz w:val="16"/>
              <w:szCs w:val="16"/>
            </w:rPr>
          </w:pPr>
          <w:r w:rsidRPr="002D2847">
            <w:rPr>
              <w:rFonts w:cs="Arial"/>
              <w:sz w:val="16"/>
              <w:szCs w:val="16"/>
            </w:rPr>
            <w:t>2432- 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F5383" w:rsidRPr="00ED04EC" w14:paraId="7F49A57F" w14:textId="77777777" w:rsidTr="00551DCD">
      <w:trPr>
        <w:trHeight w:val="144"/>
        <w:jc w:val="right"/>
      </w:trPr>
      <w:tc>
        <w:tcPr>
          <w:tcW w:w="1854" w:type="dxa"/>
          <w:hideMark/>
        </w:tcPr>
        <w:p w14:paraId="4ADC44D6" w14:textId="77777777" w:rsidR="000F5383" w:rsidRPr="004159B2" w:rsidRDefault="000F5383" w:rsidP="009E1F57">
          <w:pPr>
            <w:pStyle w:val="RefTableData"/>
          </w:pPr>
          <w:r w:rsidRPr="004159B2">
            <w:t>Reference number(s)</w:t>
          </w:r>
        </w:p>
      </w:tc>
    </w:tr>
    <w:tr w:rsidR="000F5383" w:rsidRPr="00ED04EC" w14:paraId="2259874D" w14:textId="77777777" w:rsidTr="00551DCD">
      <w:trPr>
        <w:trHeight w:val="378"/>
        <w:jc w:val="right"/>
      </w:trPr>
      <w:tc>
        <w:tcPr>
          <w:tcW w:w="1854" w:type="dxa"/>
          <w:hideMark/>
        </w:tcPr>
        <w:p w14:paraId="475EFE95" w14:textId="77777777" w:rsidR="000F5383" w:rsidRPr="00FF66BF" w:rsidRDefault="000F5383" w:rsidP="009E1F57">
          <w:pPr>
            <w:pStyle w:val="RefTableHeader"/>
          </w:pPr>
        </w:p>
      </w:tc>
    </w:tr>
  </w:tbl>
  <w:p w14:paraId="5ACB788B" w14:textId="77777777" w:rsidR="000F5383" w:rsidRPr="000F5383" w:rsidRDefault="000F538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BCD6D5D"/>
    <w:multiLevelType w:val="hybridMultilevel"/>
    <w:tmpl w:val="AFF845E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2B20176"/>
    <w:multiLevelType w:val="hybridMultilevel"/>
    <w:tmpl w:val="89FE683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1B6778D"/>
    <w:multiLevelType w:val="hybridMultilevel"/>
    <w:tmpl w:val="7AA45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EC074A"/>
    <w:multiLevelType w:val="hybridMultilevel"/>
    <w:tmpl w:val="91BA3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010640"/>
    <w:multiLevelType w:val="hybridMultilevel"/>
    <w:tmpl w:val="D8CA7BB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8459CF"/>
    <w:multiLevelType w:val="hybridMultilevel"/>
    <w:tmpl w:val="6CEC2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5F7670C"/>
    <w:multiLevelType w:val="hybridMultilevel"/>
    <w:tmpl w:val="16449E8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2"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28"/>
  </w:num>
  <w:num w:numId="3" w16cid:durableId="611589570">
    <w:abstractNumId w:val="21"/>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0"/>
  </w:num>
  <w:num w:numId="16" w16cid:durableId="898320195">
    <w:abstractNumId w:val="18"/>
  </w:num>
  <w:num w:numId="17" w16cid:durableId="2128498676">
    <w:abstractNumId w:val="32"/>
  </w:num>
  <w:num w:numId="18" w16cid:durableId="299724409">
    <w:abstractNumId w:val="25"/>
  </w:num>
  <w:num w:numId="19" w16cid:durableId="214585573">
    <w:abstractNumId w:val="14"/>
  </w:num>
  <w:num w:numId="20" w16cid:durableId="1289816170">
    <w:abstractNumId w:val="15"/>
  </w:num>
  <w:num w:numId="21" w16cid:durableId="1066490929">
    <w:abstractNumId w:val="33"/>
  </w:num>
  <w:num w:numId="22" w16cid:durableId="1472481103">
    <w:abstractNumId w:val="27"/>
  </w:num>
  <w:num w:numId="23" w16cid:durableId="1997420403">
    <w:abstractNumId w:val="29"/>
  </w:num>
  <w:num w:numId="24" w16cid:durableId="33312838">
    <w:abstractNumId w:val="26"/>
  </w:num>
  <w:num w:numId="25" w16cid:durableId="507404939">
    <w:abstractNumId w:val="17"/>
  </w:num>
  <w:num w:numId="26" w16cid:durableId="1950313333">
    <w:abstractNumId w:val="20"/>
  </w:num>
  <w:num w:numId="27" w16cid:durableId="1866016584">
    <w:abstractNumId w:val="19"/>
  </w:num>
  <w:num w:numId="28" w16cid:durableId="658268342">
    <w:abstractNumId w:val="31"/>
  </w:num>
  <w:num w:numId="29" w16cid:durableId="24254849">
    <w:abstractNumId w:val="16"/>
  </w:num>
  <w:num w:numId="30" w16cid:durableId="1341085187">
    <w:abstractNumId w:val="11"/>
  </w:num>
  <w:num w:numId="31" w16cid:durableId="2085837902">
    <w:abstractNumId w:val="24"/>
  </w:num>
  <w:num w:numId="32" w16cid:durableId="590360157">
    <w:abstractNumId w:val="22"/>
  </w:num>
  <w:num w:numId="33" w16cid:durableId="40398357">
    <w:abstractNumId w:val="23"/>
  </w:num>
  <w:num w:numId="34" w16cid:durableId="1923637590">
    <w:abstractNumId w:val="3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38D"/>
    <w:rsid w:val="00023BE2"/>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C18"/>
    <w:rsid w:val="000760A2"/>
    <w:rsid w:val="000760F2"/>
    <w:rsid w:val="00076FED"/>
    <w:rsid w:val="000771F0"/>
    <w:rsid w:val="00077C0D"/>
    <w:rsid w:val="00080333"/>
    <w:rsid w:val="00080866"/>
    <w:rsid w:val="00081951"/>
    <w:rsid w:val="00081D8C"/>
    <w:rsid w:val="00081F48"/>
    <w:rsid w:val="00082357"/>
    <w:rsid w:val="00082825"/>
    <w:rsid w:val="00082CE9"/>
    <w:rsid w:val="000837A5"/>
    <w:rsid w:val="00083890"/>
    <w:rsid w:val="00083E63"/>
    <w:rsid w:val="00083FC9"/>
    <w:rsid w:val="00085375"/>
    <w:rsid w:val="00085638"/>
    <w:rsid w:val="00085913"/>
    <w:rsid w:val="00085D37"/>
    <w:rsid w:val="00086953"/>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0F7BE8"/>
    <w:rsid w:val="00100B91"/>
    <w:rsid w:val="001012A6"/>
    <w:rsid w:val="00101748"/>
    <w:rsid w:val="00101C90"/>
    <w:rsid w:val="00101D40"/>
    <w:rsid w:val="0010327C"/>
    <w:rsid w:val="00103E4B"/>
    <w:rsid w:val="00103E71"/>
    <w:rsid w:val="00104849"/>
    <w:rsid w:val="0010527A"/>
    <w:rsid w:val="001054B4"/>
    <w:rsid w:val="00105956"/>
    <w:rsid w:val="0010639C"/>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39"/>
    <w:rsid w:val="00151DA8"/>
    <w:rsid w:val="00152135"/>
    <w:rsid w:val="00153164"/>
    <w:rsid w:val="001537D3"/>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1999"/>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3D8"/>
    <w:rsid w:val="00235900"/>
    <w:rsid w:val="00235A26"/>
    <w:rsid w:val="00235ADF"/>
    <w:rsid w:val="00235FEF"/>
    <w:rsid w:val="00240136"/>
    <w:rsid w:val="00240736"/>
    <w:rsid w:val="00240C43"/>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430"/>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4AD"/>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847"/>
    <w:rsid w:val="002D2C61"/>
    <w:rsid w:val="002D35B0"/>
    <w:rsid w:val="002D3A1B"/>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02B"/>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2C0F"/>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8E4"/>
    <w:rsid w:val="00390BD4"/>
    <w:rsid w:val="00391311"/>
    <w:rsid w:val="003915B9"/>
    <w:rsid w:val="0039194A"/>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79"/>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331"/>
    <w:rsid w:val="004154F5"/>
    <w:rsid w:val="0041567E"/>
    <w:rsid w:val="004159B2"/>
    <w:rsid w:val="004172BF"/>
    <w:rsid w:val="00420227"/>
    <w:rsid w:val="00420545"/>
    <w:rsid w:val="00420E1B"/>
    <w:rsid w:val="00420EE4"/>
    <w:rsid w:val="00421305"/>
    <w:rsid w:val="0042150E"/>
    <w:rsid w:val="0042209A"/>
    <w:rsid w:val="0042222E"/>
    <w:rsid w:val="00422416"/>
    <w:rsid w:val="004226CD"/>
    <w:rsid w:val="00422766"/>
    <w:rsid w:val="004236F4"/>
    <w:rsid w:val="00423C96"/>
    <w:rsid w:val="00425453"/>
    <w:rsid w:val="00425740"/>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77"/>
    <w:rsid w:val="004507D8"/>
    <w:rsid w:val="00451431"/>
    <w:rsid w:val="004516EC"/>
    <w:rsid w:val="00452B20"/>
    <w:rsid w:val="004533F8"/>
    <w:rsid w:val="00453D7B"/>
    <w:rsid w:val="00453EEC"/>
    <w:rsid w:val="004548ED"/>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459"/>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0D5"/>
    <w:rsid w:val="004F34FF"/>
    <w:rsid w:val="004F37F3"/>
    <w:rsid w:val="004F3F44"/>
    <w:rsid w:val="004F440F"/>
    <w:rsid w:val="004F457C"/>
    <w:rsid w:val="004F46AD"/>
    <w:rsid w:val="004F4C56"/>
    <w:rsid w:val="004F4F14"/>
    <w:rsid w:val="004F5885"/>
    <w:rsid w:val="004F5DA6"/>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5CBC"/>
    <w:rsid w:val="0050618F"/>
    <w:rsid w:val="00511426"/>
    <w:rsid w:val="00511573"/>
    <w:rsid w:val="00512353"/>
    <w:rsid w:val="00512508"/>
    <w:rsid w:val="00513C29"/>
    <w:rsid w:val="00513FB7"/>
    <w:rsid w:val="00514A01"/>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307"/>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784"/>
    <w:rsid w:val="005B289F"/>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145"/>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BF"/>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2D9"/>
    <w:rsid w:val="00617744"/>
    <w:rsid w:val="00617950"/>
    <w:rsid w:val="00617BB8"/>
    <w:rsid w:val="00621772"/>
    <w:rsid w:val="00622770"/>
    <w:rsid w:val="00622801"/>
    <w:rsid w:val="00622BDF"/>
    <w:rsid w:val="00623221"/>
    <w:rsid w:val="00624FDF"/>
    <w:rsid w:val="006252F2"/>
    <w:rsid w:val="00625D43"/>
    <w:rsid w:val="00626122"/>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338"/>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4A14"/>
    <w:rsid w:val="00665820"/>
    <w:rsid w:val="00666579"/>
    <w:rsid w:val="00666A21"/>
    <w:rsid w:val="00666FFD"/>
    <w:rsid w:val="0066715E"/>
    <w:rsid w:val="00667755"/>
    <w:rsid w:val="00667944"/>
    <w:rsid w:val="00670A4F"/>
    <w:rsid w:val="00670DAE"/>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51"/>
    <w:rsid w:val="006D341B"/>
    <w:rsid w:val="006D3542"/>
    <w:rsid w:val="006D4EA6"/>
    <w:rsid w:val="006D618E"/>
    <w:rsid w:val="006D62DA"/>
    <w:rsid w:val="006D662E"/>
    <w:rsid w:val="006D66E8"/>
    <w:rsid w:val="006D6E11"/>
    <w:rsid w:val="006D6FA0"/>
    <w:rsid w:val="006E0743"/>
    <w:rsid w:val="006E08C9"/>
    <w:rsid w:val="006E09C3"/>
    <w:rsid w:val="006E28B1"/>
    <w:rsid w:val="006E303A"/>
    <w:rsid w:val="006E3E7B"/>
    <w:rsid w:val="006E3F80"/>
    <w:rsid w:val="006E423D"/>
    <w:rsid w:val="006E4C56"/>
    <w:rsid w:val="006E53FA"/>
    <w:rsid w:val="006E55CD"/>
    <w:rsid w:val="006E5ECB"/>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516"/>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1A95"/>
    <w:rsid w:val="00822077"/>
    <w:rsid w:val="00822A02"/>
    <w:rsid w:val="008231A9"/>
    <w:rsid w:val="0082357B"/>
    <w:rsid w:val="0082395F"/>
    <w:rsid w:val="00823B22"/>
    <w:rsid w:val="008254BC"/>
    <w:rsid w:val="00826FDC"/>
    <w:rsid w:val="008279BA"/>
    <w:rsid w:val="008308BE"/>
    <w:rsid w:val="00830CE5"/>
    <w:rsid w:val="008313C2"/>
    <w:rsid w:val="00832520"/>
    <w:rsid w:val="00832E80"/>
    <w:rsid w:val="00832EB5"/>
    <w:rsid w:val="00832F22"/>
    <w:rsid w:val="0083565A"/>
    <w:rsid w:val="00835A0B"/>
    <w:rsid w:val="008409AE"/>
    <w:rsid w:val="00840EA7"/>
    <w:rsid w:val="008428E1"/>
    <w:rsid w:val="00842F87"/>
    <w:rsid w:val="008432CC"/>
    <w:rsid w:val="00843CE4"/>
    <w:rsid w:val="0084425F"/>
    <w:rsid w:val="008445A6"/>
    <w:rsid w:val="00844E79"/>
    <w:rsid w:val="008465D2"/>
    <w:rsid w:val="00850792"/>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B2A"/>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5FA4"/>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7266"/>
    <w:rsid w:val="00940AA9"/>
    <w:rsid w:val="00941264"/>
    <w:rsid w:val="0094143E"/>
    <w:rsid w:val="0094296E"/>
    <w:rsid w:val="0094298C"/>
    <w:rsid w:val="009434E1"/>
    <w:rsid w:val="0094553A"/>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578AF"/>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851"/>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1E82"/>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3D9A"/>
    <w:rsid w:val="009C4B9D"/>
    <w:rsid w:val="009C4E1E"/>
    <w:rsid w:val="009C595B"/>
    <w:rsid w:val="009C6673"/>
    <w:rsid w:val="009C6CB5"/>
    <w:rsid w:val="009C6CFE"/>
    <w:rsid w:val="009C7D3E"/>
    <w:rsid w:val="009D0B0C"/>
    <w:rsid w:val="009D0C37"/>
    <w:rsid w:val="009D2D63"/>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5212"/>
    <w:rsid w:val="009E6C19"/>
    <w:rsid w:val="009E6E2F"/>
    <w:rsid w:val="009F0845"/>
    <w:rsid w:val="009F1EDE"/>
    <w:rsid w:val="009F2CEE"/>
    <w:rsid w:val="009F2EF1"/>
    <w:rsid w:val="009F3F1F"/>
    <w:rsid w:val="009F426B"/>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BC6"/>
    <w:rsid w:val="00AA7D6B"/>
    <w:rsid w:val="00AB03C3"/>
    <w:rsid w:val="00AB060C"/>
    <w:rsid w:val="00AB07BF"/>
    <w:rsid w:val="00AB0812"/>
    <w:rsid w:val="00AB09BC"/>
    <w:rsid w:val="00AB12D9"/>
    <w:rsid w:val="00AB1987"/>
    <w:rsid w:val="00AB299D"/>
    <w:rsid w:val="00AB2BF1"/>
    <w:rsid w:val="00AB3600"/>
    <w:rsid w:val="00AB3783"/>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D747D"/>
    <w:rsid w:val="00AE1137"/>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109"/>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033"/>
    <w:rsid w:val="00BA759D"/>
    <w:rsid w:val="00BA7600"/>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4D67"/>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277"/>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196B"/>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0FE9"/>
    <w:rsid w:val="00C72424"/>
    <w:rsid w:val="00C73E8B"/>
    <w:rsid w:val="00C74CD4"/>
    <w:rsid w:val="00C74F5C"/>
    <w:rsid w:val="00C75C02"/>
    <w:rsid w:val="00C76BFE"/>
    <w:rsid w:val="00C77681"/>
    <w:rsid w:val="00C7774C"/>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AFE"/>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DA2"/>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20CD"/>
    <w:rsid w:val="00D5213B"/>
    <w:rsid w:val="00D5238D"/>
    <w:rsid w:val="00D5331B"/>
    <w:rsid w:val="00D5579C"/>
    <w:rsid w:val="00D56213"/>
    <w:rsid w:val="00D566EA"/>
    <w:rsid w:val="00D56FC3"/>
    <w:rsid w:val="00D578A8"/>
    <w:rsid w:val="00D6162B"/>
    <w:rsid w:val="00D64807"/>
    <w:rsid w:val="00D6549B"/>
    <w:rsid w:val="00D65533"/>
    <w:rsid w:val="00D661C5"/>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793D"/>
    <w:rsid w:val="00DC1591"/>
    <w:rsid w:val="00DC2163"/>
    <w:rsid w:val="00DC2997"/>
    <w:rsid w:val="00DC3267"/>
    <w:rsid w:val="00DC34C2"/>
    <w:rsid w:val="00DC39BC"/>
    <w:rsid w:val="00DC46DA"/>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17396"/>
    <w:rsid w:val="00E20E34"/>
    <w:rsid w:val="00E212B1"/>
    <w:rsid w:val="00E21380"/>
    <w:rsid w:val="00E21E0B"/>
    <w:rsid w:val="00E23842"/>
    <w:rsid w:val="00E2462F"/>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5E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4"/>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A5"/>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0F1C"/>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07747462">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79214155">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078820419">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331713726">
      <w:bodyDiv w:val="1"/>
      <w:marLeft w:val="0"/>
      <w:marRight w:val="0"/>
      <w:marTop w:val="0"/>
      <w:marBottom w:val="0"/>
      <w:divBdr>
        <w:top w:val="none" w:sz="0" w:space="0" w:color="auto"/>
        <w:left w:val="none" w:sz="0" w:space="0" w:color="auto"/>
        <w:bottom w:val="none" w:sz="0" w:space="0" w:color="auto"/>
        <w:right w:val="none" w:sz="0" w:space="0" w:color="auto"/>
      </w:divBdr>
      <w:divsChild>
        <w:div w:id="1264801248">
          <w:marLeft w:val="0"/>
          <w:marRight w:val="0"/>
          <w:marTop w:val="0"/>
          <w:marBottom w:val="0"/>
          <w:divBdr>
            <w:top w:val="none" w:sz="0" w:space="0" w:color="auto"/>
            <w:left w:val="none" w:sz="0" w:space="0" w:color="auto"/>
            <w:bottom w:val="none" w:sz="0" w:space="0" w:color="auto"/>
            <w:right w:val="none" w:sz="0" w:space="0" w:color="auto"/>
          </w:divBdr>
        </w:div>
        <w:div w:id="128788233">
          <w:marLeft w:val="0"/>
          <w:marRight w:val="0"/>
          <w:marTop w:val="0"/>
          <w:marBottom w:val="0"/>
          <w:divBdr>
            <w:top w:val="none" w:sz="0" w:space="0" w:color="auto"/>
            <w:left w:val="none" w:sz="0" w:space="0" w:color="auto"/>
            <w:bottom w:val="none" w:sz="0" w:space="0" w:color="auto"/>
            <w:right w:val="none" w:sz="0" w:space="0" w:color="auto"/>
          </w:divBdr>
        </w:div>
        <w:div w:id="523520516">
          <w:marLeft w:val="0"/>
          <w:marRight w:val="0"/>
          <w:marTop w:val="0"/>
          <w:marBottom w:val="0"/>
          <w:divBdr>
            <w:top w:val="none" w:sz="0" w:space="0" w:color="auto"/>
            <w:left w:val="none" w:sz="0" w:space="0" w:color="auto"/>
            <w:bottom w:val="none" w:sz="0" w:space="0" w:color="auto"/>
            <w:right w:val="none" w:sz="0" w:space="0" w:color="auto"/>
          </w:divBdr>
        </w:div>
        <w:div w:id="557516691">
          <w:marLeft w:val="0"/>
          <w:marRight w:val="0"/>
          <w:marTop w:val="0"/>
          <w:marBottom w:val="0"/>
          <w:divBdr>
            <w:top w:val="none" w:sz="0" w:space="0" w:color="auto"/>
            <w:left w:val="none" w:sz="0" w:space="0" w:color="auto"/>
            <w:bottom w:val="none" w:sz="0" w:space="0" w:color="auto"/>
            <w:right w:val="none" w:sz="0" w:space="0" w:color="auto"/>
          </w:divBdr>
        </w:div>
        <w:div w:id="164707247">
          <w:marLeft w:val="0"/>
          <w:marRight w:val="0"/>
          <w:marTop w:val="0"/>
          <w:marBottom w:val="0"/>
          <w:divBdr>
            <w:top w:val="none" w:sz="0" w:space="0" w:color="auto"/>
            <w:left w:val="none" w:sz="0" w:space="0" w:color="auto"/>
            <w:bottom w:val="none" w:sz="0" w:space="0" w:color="auto"/>
            <w:right w:val="none" w:sz="0" w:space="0" w:color="auto"/>
          </w:divBdr>
        </w:div>
      </w:divsChild>
    </w:div>
    <w:div w:id="1349286048">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 w:id="2144349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96EB148-F43C-4BB3-9F8E-52D01337BD2A}"/>
</file>

<file path=customXml/itemProps2.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A243CFE1-08DE-432F-83DD-4933F5F97812}">
  <ds:schemaRefs>
    <ds:schemaRef ds:uri="http://schemas.microsoft.com/office/2006/documentManagement/types"/>
    <ds:schemaRef ds:uri="http://purl.org/dc/elements/1.1/"/>
    <ds:schemaRef ds:uri="102fadf2-6cae-45bc-95f6-bc2613b98572"/>
    <ds:schemaRef ds:uri="http://schemas.microsoft.com/office/infopath/2007/PartnerControls"/>
    <ds:schemaRef ds:uri="http://purl.org/dc/terms/"/>
    <ds:schemaRef ds:uri="ce173f13-e3a2-4c5f-8c54-d0382ae88016"/>
    <ds:schemaRef ds:uri="http://schemas.openxmlformats.org/package/2006/metadata/core-properties"/>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511</Words>
  <Characters>3236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Aveed opt-out SGM 2432-A</vt:lpstr>
    </vt:vector>
  </TitlesOfParts>
  <Company>CVS Caremark</Company>
  <LinksUpToDate>false</LinksUpToDate>
  <CharactersWithSpaces>3740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Aveed opt-out SGM 2432-A</dc:title>
  <dc:subject>Aveed opt-out SGM 2432-A</dc:subject>
  <dc:creator>CVS Caremark</dc:creator>
  <cp:keywords/>
  <cp:lastModifiedBy>Reynoso, Victor H</cp:lastModifiedBy>
  <cp:revision>4</cp:revision>
  <cp:lastPrinted>2024-04-16T05:32:00Z</cp:lastPrinted>
  <dcterms:created xsi:type="dcterms:W3CDTF">2025-06-13T13:37:00Z</dcterms:created>
  <dcterms:modified xsi:type="dcterms:W3CDTF">2025-06-13T13:38:00Z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683200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